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b/>
          <w:bCs/>
          <w:color w:val="1A1A2E"/>
          <w:sz w:val="52"/>
          <w:szCs w:val="52"/>
        </w:rPr>
        <w:t>Humberto Newman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b/>
          <w:bCs/>
          <w:color w:val="2563EB"/>
          <w:sz w:val="26"/>
          <w:szCs w:val="26"/>
        </w:rPr>
        <w:t>Marketing Digital Analyst &amp; Growth Specialist</w:t>
      </w:r>
    </w:p>
    <w:p>
      <w:pPr>
        <w:pStyle w:val="Normal"/>
        <w:spacing w:before="0" w:after="60"/>
        <w:jc w:val="center"/>
        <w:rPr/>
      </w:pPr>
      <w:r>
        <w:rPr>
          <w:rFonts w:eastAsia="Arial" w:cs="Arial" w:ascii="Arial" w:hAnsi="Arial"/>
          <w:i/>
          <w:iCs/>
          <w:color w:val="6B7280"/>
          <w:sz w:val="20"/>
          <w:szCs w:val="20"/>
        </w:rPr>
        <w:t>Automatización · Analítica · Diseño Orientado a Conversión · IA Aplicada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color w:val="6B7280"/>
          <w:sz w:val="19"/>
          <w:szCs w:val="19"/>
        </w:rPr>
        <w:t xml:space="preserve">+56 9 9155 8326   |   </w:t>
      </w:r>
      <w:r>
        <w:rPr>
          <w:rFonts w:eastAsia="Arial" w:cs="Arial" w:ascii="Arial" w:hAnsi="Arial"/>
          <w:color w:val="2563EB"/>
          <w:sz w:val="19"/>
          <w:szCs w:val="19"/>
        </w:rPr>
        <w:t>domen.newman@gmail.com</w:t>
      </w:r>
      <w:r>
        <w:rPr>
          <w:rFonts w:eastAsia="Arial" w:cs="Arial" w:ascii="Arial" w:hAnsi="Arial"/>
          <w:color w:val="6B7280"/>
          <w:sz w:val="19"/>
          <w:szCs w:val="19"/>
        </w:rPr>
        <w:t xml:space="preserve">   |   </w:t>
      </w:r>
      <w:r>
        <w:rPr>
          <w:rFonts w:eastAsia="Arial" w:cs="Arial" w:ascii="Arial" w:hAnsi="Arial"/>
          <w:color w:val="2563EB"/>
          <w:sz w:val="19"/>
          <w:szCs w:val="19"/>
        </w:rPr>
        <w:t xml:space="preserve">linkedin.com/in/humberto-newman </w:t>
      </w:r>
      <w:r>
        <w:rPr>
          <w:rFonts w:eastAsia="Arial" w:cs="Arial" w:ascii="Arial" w:hAnsi="Arial"/>
          <w:color w:val="6B7280"/>
          <w:sz w:val="19"/>
          <w:szCs w:val="19"/>
        </w:rPr>
        <w:t xml:space="preserve">|  </w:t>
      </w:r>
      <w:r>
        <w:rPr>
          <w:rFonts w:eastAsia="Arial" w:cs="Arial" w:ascii="Arial" w:hAnsi="Arial"/>
          <w:color w:val="2563EB"/>
          <w:sz w:val="19"/>
          <w:szCs w:val="19"/>
        </w:rPr>
        <w:t>https://</w:t>
      </w:r>
      <w:r>
        <w:rPr>
          <w:rFonts w:eastAsia="Arial" w:cs="Arial" w:ascii="Arial" w:hAnsi="Arial"/>
          <w:color w:val="2563EB"/>
          <w:sz w:val="19"/>
          <w:szCs w:val="19"/>
        </w:rPr>
        <w:t>humbertonewman.</w:t>
      </w:r>
      <w:r>
        <w:rPr>
          <w:rFonts w:eastAsia="Arial" w:cs="Arial" w:ascii="Arial" w:hAnsi="Arial"/>
          <w:color w:val="2563EB"/>
          <w:sz w:val="19"/>
          <w:szCs w:val="19"/>
        </w:rPr>
        <w:t>com</w:t>
      </w:r>
    </w:p>
    <w:p>
      <w:pPr>
        <w:pStyle w:val="Normal"/>
        <w:pBdr>
          <w:bottom w:val="single" w:sz="6" w:space="1" w:color="2563EB"/>
        </w:pBdr>
        <w:spacing w:before="160" w:after="100"/>
        <w:rPr/>
      </w:pPr>
      <w:r>
        <w:rPr/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PERFIL PROFESIONAL</w:t>
      </w:r>
    </w:p>
    <w:p>
      <w:pPr>
        <w:pStyle w:val="Normal"/>
        <w:spacing w:before="100" w:after="80"/>
        <w:rPr/>
      </w:pPr>
      <w:r>
        <w:rPr>
          <w:rFonts w:eastAsia="Arial" w:cs="Arial" w:ascii="Arial" w:hAnsi="Arial"/>
          <w:color w:val="1A1A2E"/>
          <w:sz w:val="20"/>
          <w:szCs w:val="20"/>
        </w:rPr>
        <w:t>Especialista en Marketing Digital con foco en growth y conversión, combinando analítica de datos, automatización CRM y criterio visual para impactar resultados de negocio medibles. He gestionado funnels completos para bases de más de 30.000 contactos, construido dashboards de performance con +15 KPIs e integrado IA en flujos de producción para escalar sin perder calidad estratégica. Mi diferencial es la combinación de tres capacidades que raramente conviven en un mismo perfil: criterio visual sólido, operación de funnels con automatización CRM, y mentalidad data-driven. Diseño con KPIs en mente —CTR, open rate, conversión— y monitoreo rendimiento en Looker Studio para iterar con base en evidencia.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EXPERIENCIA PROFESIONAL</w:t>
      </w:r>
    </w:p>
    <w:p>
      <w:pPr>
        <w:pStyle w:val="Normal"/>
        <w:tabs>
          <w:tab w:val="clear" w:pos="720"/>
          <w:tab w:val="right" w:pos="9360" w:leader="none"/>
        </w:tabs>
        <w:spacing w:before="160" w:after="2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Senior Marketing Designer</w:t>
      </w:r>
      <w:r>
        <w:rPr>
          <w:rFonts w:eastAsia="Arial" w:cs="Arial" w:ascii="Arial" w:hAnsi="Arial"/>
          <w:i/>
          <w:iCs/>
          <w:color w:val="6B7280"/>
          <w:sz w:val="20"/>
          <w:szCs w:val="20"/>
        </w:rPr>
        <w:tab/>
        <w:t>2024 – 2026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color w:val="2563EB"/>
          <w:sz w:val="20"/>
          <w:szCs w:val="20"/>
        </w:rPr>
        <w:t>UPAGO — Plataforma Fintech B2B · Chile &amp; Latinoamérica</w:t>
      </w:r>
    </w:p>
    <w:p>
      <w:pPr>
        <w:pStyle w:val="ListParagraph"/>
        <w:numPr>
          <w:ilvl w:val="0"/>
          <w:numId w:val="3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Desarrollé estrategia de inbound email marketing desde cero, elevando la tasa de apertura del 9–12% al 22% sostenido, generando una media de 22 contactos calificados por campaña que ingresaban directamente al pipeline de KAM con tasa de conversión a cliente.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Produje más de 40 activos digitales mensuales (landing pages, emails, banners, decks, colateral de ventas) alineados a directrices de marca y objetivos de conversión.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Construí sistema de diseño escalable en Figma con componentes reutilizables y biblioteca de activos, reduciendo tiempos de entrega del equipo.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Implementé dashboard en Looker Studio con más de 15 KPIs clave (CTR, open rate, conversión, pipeline) para decisiones estratégicas basadas en datos.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Integré IA (Cursor, Midjourney, Firefly) en el flujo de diseño para prototipado rápido e iteración creativa acelerada.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Colaboré transversalmente con ventas, producto y contenido entregando activos en brief, en plazo y con impacto medible.</w:t>
      </w:r>
    </w:p>
    <w:p>
      <w:pPr>
        <w:pStyle w:val="Normal"/>
        <w:tabs>
          <w:tab w:val="clear" w:pos="720"/>
          <w:tab w:val="right" w:pos="9360" w:leader="none"/>
        </w:tabs>
        <w:spacing w:before="160" w:after="2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Coordinador de Marketing Digital &amp; Visual Lead</w:t>
      </w:r>
      <w:r>
        <w:rPr>
          <w:rFonts w:eastAsia="Arial" w:cs="Arial" w:ascii="Arial" w:hAnsi="Arial"/>
          <w:i/>
          <w:iCs/>
          <w:color w:val="6B7280"/>
          <w:sz w:val="20"/>
          <w:szCs w:val="20"/>
        </w:rPr>
        <w:tab/>
        <w:t>2020 – 2024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color w:val="2563EB"/>
          <w:sz w:val="20"/>
          <w:szCs w:val="20"/>
        </w:rPr>
        <w:t>Efecto Educativo — Plataforma de Educación Digital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Diseñé e implementé secuencias automatizadas de nurturing de hasta 5 etapas, aumentando la tasa de apertura del 10% al 25% y alcanzando más de 300 leads calificados por campaña.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Estructuré el funnel de ventas y optimicé captación de leads gestionando una base de más de 30.000 contactos con segmentación y nurture automatizado.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Diseñé más de 25 landing pages orientadas a conversión, mejorando CAC y calidad de leads.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Creé y gestioné todos los activos visuales de marca en web, email, social y campañas digitales.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Apliqué SEO estratégico y arquitectura de contenido para mejorar visibilidad orgánica.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Hice crecer comunidad activa de más de 15.000 seguidores mediante calendario editorial y storytelling visual.</w:t>
      </w:r>
    </w:p>
    <w:p>
      <w:pPr>
        <w:pStyle w:val="Normal"/>
        <w:tabs>
          <w:tab w:val="clear" w:pos="720"/>
          <w:tab w:val="right" w:pos="9360" w:leader="none"/>
        </w:tabs>
        <w:spacing w:before="160" w:after="2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Diseñador Digital Senior</w:t>
      </w:r>
      <w:r>
        <w:rPr>
          <w:rFonts w:eastAsia="Arial" w:cs="Arial" w:ascii="Arial" w:hAnsi="Arial"/>
          <w:i/>
          <w:iCs/>
          <w:color w:val="6B7280"/>
          <w:sz w:val="20"/>
          <w:szCs w:val="20"/>
        </w:rPr>
        <w:tab/>
        <w:t>2009 – 2020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color w:val="2563EB"/>
          <w:sz w:val="20"/>
          <w:szCs w:val="20"/>
        </w:rPr>
        <w:t>Efecto Educativo — Diseño de Producto Educativo Digital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Diseñé más de 10 productos educativos digitales implementados en más de 1.500 establecimientos a nivel nacional.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Consolidé identidad visual corporativa a escala nacional con directrices de marca aplicadas en todos los canales.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Apliqué principios UX/UI en plataformas educativas centradas en experiencia del aprendiz y accesibilidad.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HERRAMIENTAS &amp; HABILIDADES</w:t>
      </w:r>
    </w:p>
    <w:p>
      <w:pPr>
        <w:pStyle w:val="Normal"/>
        <w:spacing w:before="8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Analítica: </w:t>
      </w:r>
      <w:r>
        <w:rPr>
          <w:rFonts w:eastAsia="Arial" w:cs="Arial" w:ascii="Arial" w:hAnsi="Arial"/>
          <w:color w:val="1A1A2E"/>
          <w:sz w:val="20"/>
          <w:szCs w:val="20"/>
        </w:rPr>
        <w:t>Looker Studio · Google Analytics (GA4) · CTR · Open Rate · Conversión · CAC · Dashboards de KPI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CRM &amp; Automatización: </w:t>
      </w:r>
      <w:r>
        <w:rPr>
          <w:rFonts w:eastAsia="Arial" w:cs="Arial" w:ascii="Arial" w:hAnsi="Arial"/>
          <w:color w:val="1A1A2E"/>
          <w:sz w:val="20"/>
          <w:szCs w:val="20"/>
        </w:rPr>
        <w:t>HubSpot · GetResponse · Segmentación · Nurture flows · Lead scoring · Automatización de campañas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Diseño: </w:t>
      </w:r>
      <w:r>
        <w:rPr>
          <w:rFonts w:eastAsia="Arial" w:cs="Arial" w:ascii="Arial" w:hAnsi="Arial"/>
          <w:color w:val="1A1A2E"/>
          <w:sz w:val="20"/>
          <w:szCs w:val="20"/>
        </w:rPr>
        <w:t>Figma · Adobe Creative Suite (Ps, Ai, Id, Ae) · Google Slides · Canva Pro · Sistemas de diseño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IA &amp; Flujos: </w:t>
      </w:r>
      <w:r>
        <w:rPr>
          <w:rFonts w:eastAsia="Arial" w:cs="Arial" w:ascii="Arial" w:hAnsi="Arial"/>
          <w:color w:val="1A1A2E"/>
          <w:sz w:val="20"/>
          <w:szCs w:val="20"/>
        </w:rPr>
        <w:t>Cursor · Midjourney · Firefly · ChatGPT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Paid Media: </w:t>
      </w:r>
      <w:r>
        <w:rPr>
          <w:rFonts w:eastAsia="Arial" w:cs="Arial" w:ascii="Arial" w:hAnsi="Arial"/>
          <w:color w:val="1A1A2E"/>
          <w:sz w:val="20"/>
          <w:szCs w:val="20"/>
        </w:rPr>
        <w:t>Google Ads Search (Certificado 2025)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Activos: </w:t>
      </w:r>
      <w:r>
        <w:rPr>
          <w:rFonts w:eastAsia="Arial" w:cs="Arial" w:ascii="Arial" w:hAnsi="Arial"/>
          <w:color w:val="1A1A2E"/>
          <w:sz w:val="20"/>
          <w:szCs w:val="20"/>
        </w:rPr>
        <w:t>Landing pages · Emails · Banners · Pitch decks · Colateral de ventas · One-pagers · Activos sociales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FORMACIÓN</w:t>
      </w:r>
    </w:p>
    <w:p>
      <w:pPr>
        <w:pStyle w:val="Normal"/>
        <w:spacing w:before="80" w:after="3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>Diplomado en Marketing Digital</w:t>
      </w:r>
      <w:r>
        <w:rPr>
          <w:rFonts w:eastAsia="Arial" w:cs="Arial" w:ascii="Arial" w:hAnsi="Arial"/>
          <w:color w:val="6B7280"/>
          <w:sz w:val="20"/>
          <w:szCs w:val="20"/>
        </w:rPr>
        <w:t xml:space="preserve">  —  Pontificia Universidad Católica de Chile</w:t>
      </w:r>
    </w:p>
    <w:p>
      <w:pPr>
        <w:pStyle w:val="Normal"/>
        <w:spacing w:before="30" w:after="8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>Diseñador Gráfico</w:t>
      </w:r>
      <w:r>
        <w:rPr>
          <w:rFonts w:eastAsia="Arial" w:cs="Arial" w:ascii="Arial" w:hAnsi="Arial"/>
          <w:color w:val="6B7280"/>
          <w:sz w:val="20"/>
          <w:szCs w:val="20"/>
        </w:rPr>
        <w:t xml:space="preserve">  —  Universidad Mayor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CERTIFICACIONES</w:t>
      </w:r>
    </w:p>
    <w:p>
      <w:pPr>
        <w:pStyle w:val="Normal"/>
        <w:spacing w:before="8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Google Analytics Certification — Google</w:t>
      </w:r>
    </w:p>
    <w:p>
      <w:pPr>
        <w:pStyle w:val="Normal"/>
        <w:spacing w:before="3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Google Ads Search Certification — Google · 2025</w:t>
      </w:r>
    </w:p>
    <w:p>
      <w:pPr>
        <w:pStyle w:val="Normal"/>
        <w:spacing w:before="3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Certificación Email Marketing — HubSpot Academy</w:t>
      </w:r>
    </w:p>
    <w:p>
      <w:pPr>
        <w:pStyle w:val="Normal"/>
        <w:spacing w:before="3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Inbound Marketing — HubSpot Academy</w:t>
      </w:r>
    </w:p>
    <w:p>
      <w:pPr>
        <w:pStyle w:val="Normal"/>
        <w:spacing w:before="30" w:after="80"/>
        <w:rPr/>
      </w:pPr>
      <w:r>
        <w:rPr>
          <w:rFonts w:eastAsia="Arial" w:cs="Arial" w:ascii="Arial" w:hAnsi="Arial"/>
          <w:color w:val="1A1A2E"/>
          <w:sz w:val="20"/>
          <w:szCs w:val="20"/>
        </w:rPr>
        <w:t>Certificado en Usabilidad en Proyectos Digitales UX/UI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RECONOCIMIENTOS</w:t>
      </w:r>
    </w:p>
    <w:p>
      <w:pPr>
        <w:pStyle w:val="Normal"/>
        <w:spacing w:before="80" w:after="3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Ganador — </w:t>
      </w:r>
      <w:r>
        <w:rPr>
          <w:rFonts w:eastAsia="Arial" w:cs="Arial" w:ascii="Arial" w:hAnsi="Arial"/>
          <w:color w:val="1A1A2E"/>
          <w:sz w:val="20"/>
          <w:szCs w:val="20"/>
        </w:rPr>
        <w:t>World Makers, Concurso Nacional de Videojuegos (Miner Hero) · Universidad de Chile / FAU · 2014</w:t>
      </w:r>
    </w:p>
    <w:p>
      <w:pPr>
        <w:pStyle w:val="Normal"/>
        <w:spacing w:before="30" w:after="8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Ilustrador y Diseñador — </w:t>
      </w:r>
      <w:r>
        <w:rPr>
          <w:rFonts w:eastAsia="Arial" w:cs="Arial" w:ascii="Arial" w:hAnsi="Arial"/>
          <w:color w:val="1A1A2E"/>
          <w:sz w:val="20"/>
          <w:szCs w:val="20"/>
        </w:rPr>
        <w:t>Libro 'Super Económico', Proyecto FONDECYT N.º 1060303 · ANID · 2018 — Publicado en repositorio académico oficial.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es-CL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es-CL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es-CL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LibreOffice/26.2.3.2$Windows_X86_64 LibreOffice_project/70e089b17412e4cb7773e41413306b17a2328c34</Application>
  <AppVersion>15.0000</AppVersion>
  <Pages>2</Pages>
  <Words>663</Words>
  <Characters>3834</Characters>
  <CharactersWithSpaces>4462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2026-06-03T01:03:48Z</dcterms:created>
  <dc:creator>Un-named</dc:creator>
  <dc:description/>
  <dc:language>es-CL</dc:language>
  <cp:lastModifiedBy/>
  <dcterms:modified xsi:type="dcterms:W3CDTF">2026-06-02T21:13:36Z</dcterms:modified>
  <cp:revision>2</cp:revision>
  <dc:subject/>
  <dc:title/>
</cp:coreProperties>
</file>